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Borders/>
        <w:jc w:val="left"/>
      </w:tblPr>
      <w:tblGrid>
        <w:gridCol w:w="8861"/>
        <w:gridCol w:w="493"/>
      </w:tblGrid>
      <w:tr>
        <w:trPr>
          <w:cantSplit w:val="off"/>
        </w:trPr>
        <w:tc>
          <w:tcPr>
            <w:tcBorders/>
            <w:shd w:fill="auto"/>
            <w:tcW w:type="dxa" w:w="8861"/>
            <w:tcMar>
              <w:top w:type="dxa" w:w="0"/>
              <w:left w:type="dxa" w:w="0"/>
              <w:bottom w:type="dxa" w:w="0"/>
              <w:right w:type="dxa" w:w="0"/>
            </w:tcMar>
          </w:tcPr>
          <w:tbl>
            <w:tblPr>
              <w:tblBorders/>
              <w:jc w:val="left"/>
            </w:tblPr>
            <w:tblGrid>
              <w:gridCol w:w="8863"/>
            </w:tblGrid>
            <w:tr>
              <w:trPr>
                <w:cantSplit w:val="off"/>
              </w:trPr>
              <w:tc>
                <w:tcPr>
                  <w:tcBorders/>
                  <w:shd w:fill="auto"/>
                  <w:tcW w:type="dxa" w:w="8863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0"/>
                    <w:spacing w:after="100" w:before="100" w:line="100" w:lineRule="atLeast"/>
                  </w:pPr>
                  <w:r>
                    <w:rPr>
                      <w:color w:val="000000"/>
                      <w:sz w:val="21"/>
                      <w:b/>
                      <w:szCs w:val="21"/>
                      <w:bCs/>
                      <w:rFonts w:ascii="Tahoma" w:cs="Tahoma" w:eastAsia="Times New Roman" w:hAnsi="Tahoma"/>
                    </w:rPr>
                    <w:t xml:space="preserve">План действий центральных исполнительных органов государственной власти Московской области по реализации на территории Московской области мероприятий долгосрочной целевой программы Московской области "Энергосбережение и повышение энергетической эффективности </w:t>
                  </w:r>
                </w:p>
                <w:p>
                  <w:pPr>
                    <w:pStyle w:val="style0"/>
                    <w:jc w:val="right"/>
                    <w:spacing w:after="75" w:before="75" w:line="100" w:lineRule="atLeast"/>
                  </w:pPr>
                  <w:r>
                    <w:rPr>
                      <w:color w:val="3B3B3B"/>
                      <w:sz w:val="18"/>
                      <w:b/>
                      <w:bCs/>
                      <w:rFonts w:ascii="Tahoma" w:cs="Tahoma" w:eastAsia="Times New Roman" w:hAnsi="Tahoma"/>
                    </w:rPr>
                    <w:t>«Утверждаю»</w:t>
                  </w:r>
                </w:p>
                <w:p>
                  <w:pPr>
                    <w:pStyle w:val="style0"/>
                    <w:jc w:val="right"/>
                    <w:spacing w:after="75" w:before="75" w:line="100" w:lineRule="atLeast"/>
                  </w:pPr>
                  <w:r>
                    <w:rPr>
                      <w:color w:val="3B3B3B"/>
                      <w:sz w:val="18"/>
                      <w:szCs w:val="18"/>
                      <w:rFonts w:ascii="Tahoma" w:cs="Tahoma" w:eastAsia="Times New Roman" w:hAnsi="Tahoma"/>
                    </w:rPr>
                    <w:t xml:space="preserve">Заместитель Председателя </w:t>
                  </w:r>
                </w:p>
                <w:p>
                  <w:pPr>
                    <w:pStyle w:val="style0"/>
                    <w:jc w:val="right"/>
                    <w:spacing w:after="75" w:before="75" w:line="100" w:lineRule="atLeast"/>
                  </w:pPr>
                  <w:r>
                    <w:rPr>
                      <w:color w:val="3B3B3B"/>
                      <w:sz w:val="18"/>
                      <w:szCs w:val="18"/>
                      <w:rFonts w:ascii="Tahoma" w:cs="Tahoma" w:eastAsia="Times New Roman" w:hAnsi="Tahoma"/>
                    </w:rPr>
                    <w:t>Правительства Московской области</w:t>
                  </w:r>
                </w:p>
                <w:p>
                  <w:pPr>
                    <w:pStyle w:val="style0"/>
                    <w:jc w:val="right"/>
                    <w:spacing w:after="75" w:before="75" w:line="100" w:lineRule="atLeast"/>
                  </w:pPr>
                  <w:r>
                    <w:rPr>
                      <w:color w:val="3B3B3B"/>
                      <w:sz w:val="18"/>
                      <w:u w:val="single"/>
                      <w:szCs w:val="18"/>
                      <w:rFonts w:ascii="Tahoma" w:cs="Tahoma" w:eastAsia="Times New Roman" w:hAnsi="Tahoma"/>
                    </w:rPr>
                    <w:t xml:space="preserve">                             </w:t>
                  </w:r>
                  <w:r>
                    <w:rPr>
                      <w:color w:val="3B3B3B"/>
                      <w:sz w:val="18"/>
                      <w:szCs w:val="18"/>
                      <w:rFonts w:ascii="Tahoma" w:cs="Tahoma" w:eastAsia="Times New Roman" w:hAnsi="Tahoma"/>
                    </w:rPr>
                    <w:t>Д.А. Большаков</w:t>
                  </w:r>
                </w:p>
                <w:p>
                  <w:pPr>
                    <w:pStyle w:val="style0"/>
                    <w:jc w:val="right"/>
                    <w:spacing w:after="75" w:before="75" w:line="100" w:lineRule="atLeast"/>
                  </w:pPr>
                  <w:r>
                    <w:rPr>
                      <w:color w:val="3B3B3B"/>
                      <w:sz w:val="18"/>
                      <w:szCs w:val="18"/>
                      <w:rFonts w:ascii="Tahoma" w:cs="Tahoma" w:eastAsia="Times New Roman" w:hAnsi="Tahoma"/>
                    </w:rPr>
                    <w:t>«_____» ______________ 2010 г.</w:t>
                  </w:r>
                </w:p>
                <w:p>
                  <w:pPr>
                    <w:pStyle w:val="style0"/>
                    <w:spacing w:after="75" w:before="75" w:line="100" w:lineRule="atLeast"/>
                  </w:pPr>
                  <w:r>
                    <w:rPr>
                      <w:color w:val="3B3B3B"/>
                      <w:sz w:val="18"/>
                      <w:b/>
                      <w:bCs/>
                      <w:rFonts w:ascii="Tahoma" w:cs="Tahoma" w:eastAsia="Times New Roman" w:hAnsi="Tahoma"/>
                    </w:rPr>
                    <w:t> </w:t>
                  </w:r>
                </w:p>
                <w:p>
                  <w:pPr>
                    <w:pStyle w:val="style0"/>
                    <w:spacing w:after="75" w:before="75" w:line="100" w:lineRule="atLeast"/>
                  </w:pPr>
                  <w:r>
                    <w:rPr>
                      <w:color w:val="3B3B3B"/>
                      <w:sz w:val="18"/>
                      <w:b/>
                      <w:bCs/>
                      <w:rFonts w:ascii="Tahoma" w:cs="Tahoma" w:eastAsia="Times New Roman" w:hAnsi="Tahoma"/>
                    </w:rPr>
                    <w:t> </w:t>
                  </w:r>
                </w:p>
                <w:p>
                  <w:pPr>
                    <w:pStyle w:val="style0"/>
                    <w:jc w:val="center"/>
                    <w:spacing w:after="75" w:before="75" w:line="100" w:lineRule="atLeast"/>
                  </w:pPr>
                  <w:r>
                    <w:rPr>
                      <w:color w:val="3B3B3B"/>
                      <w:sz w:val="18"/>
                      <w:szCs w:val="18"/>
                      <w:rFonts w:ascii="Tahoma" w:cs="Tahoma" w:eastAsia="Times New Roman" w:hAnsi="Tahoma"/>
                    </w:rPr>
                    <w:t xml:space="preserve">План действий центральных исполнительных органов государственной власти Московской области по реализации на территории Московской области мероприятий долгосрочной целевой программы Московской области «Энергосбережение и повышение энергетической эффективности на территории Московской области </w:t>
                    <w:br/>
                    <w:t>на 2010-2020 годы»</w:t>
                  </w:r>
                </w:p>
                <w:tbl>
                  <w:tblPr>
                    <w:tblBorders>
                      <w:top w:color="294197" w:space="0" w:sz="6" w:val="single"/>
                      <w:left w:color="294197" w:space="0" w:sz="6" w:val="single"/>
                      <w:bottom w:color="294197" w:space="0" w:sz="6" w:val="single"/>
                      <w:right w:color="294197" w:space="0" w:sz="6" w:val="single"/>
                    </w:tblBorders>
                    <w:jc w:val="center"/>
                  </w:tblPr>
                  <w:tblGrid>
                    <w:gridCol w:w="426"/>
                    <w:gridCol w:w="2714"/>
                    <w:gridCol w:w="2645"/>
                    <w:gridCol w:w="3061"/>
                  </w:tblGrid>
                  <w:tr>
                    <w:trPr>
                      <w:tblHeader w:val="true"/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426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b/>
                            <w:szCs w:val="18"/>
                            <w:bCs/>
                            <w:rFonts w:ascii="Tahoma" w:cs="Tahoma" w:eastAsia="Times New Roman" w:hAnsi="Tahoma"/>
                          </w:rPr>
                          <w:t xml:space="preserve">№ </w:t>
                        </w:r>
                        <w:r>
                          <w:rPr>
                            <w:color w:val="3B3B3B"/>
                            <w:sz w:val="18"/>
                            <w:b/>
                            <w:szCs w:val="18"/>
                            <w:bCs/>
                            <w:rFonts w:ascii="Tahoma" w:cs="Tahoma" w:eastAsia="Times New Roman" w:hAnsi="Tahoma"/>
                          </w:rPr>
                          <w:br/>
                          <w:t>п/п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714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b/>
                            <w:szCs w:val="18"/>
                            <w:bCs/>
                            <w:rFonts w:ascii="Tahoma" w:cs="Tahoma" w:eastAsia="Times New Roman" w:hAnsi="Tahoma"/>
                          </w:rPr>
                          <w:t>Мероприятие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645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b/>
                            <w:szCs w:val="18"/>
                            <w:bCs/>
                            <w:rFonts w:ascii="Tahoma" w:cs="Tahoma" w:eastAsia="Times New Roman" w:hAnsi="Tahoma"/>
                          </w:rPr>
                          <w:t>Ответственные исполнители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306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b/>
                            <w:szCs w:val="18"/>
                            <w:bCs/>
                            <w:rFonts w:ascii="Tahoma" w:cs="Tahoma" w:eastAsia="Times New Roman" w:hAnsi="Tahoma"/>
                          </w:rPr>
                          <w:t xml:space="preserve">Срок </w:t>
                          <w:br/>
                          <w:t>исполнения</w:t>
                        </w:r>
                      </w:p>
                    </w:tc>
                  </w:tr>
                  <w:tr>
                    <w:trPr>
                      <w:tblHeader w:val="true"/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426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b/>
                            <w:szCs w:val="18"/>
                            <w:bCs/>
                            <w:rFonts w:ascii="Tahoma" w:cs="Tahoma" w:eastAsia="Times New Roman" w:hAnsi="Tahoma"/>
                          </w:rPr>
                          <w:t>1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714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b/>
                            <w:szCs w:val="18"/>
                            <w:bCs/>
                            <w:rFonts w:ascii="Tahoma" w:cs="Tahoma" w:eastAsia="Times New Roman" w:hAnsi="Tahoma"/>
                          </w:rPr>
                          <w:t>2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645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b/>
                            <w:szCs w:val="18"/>
                            <w:bCs/>
                            <w:rFonts w:ascii="Tahoma" w:cs="Tahoma" w:eastAsia="Times New Roman" w:hAnsi="Tahoma"/>
                          </w:rPr>
                          <w:t>3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306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b/>
                            <w:szCs w:val="18"/>
                            <w:bCs/>
                            <w:rFonts w:ascii="Tahoma" w:cs="Tahoma" w:eastAsia="Times New Roman" w:hAnsi="Tahoma"/>
                          </w:rPr>
                          <w:t>4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gridSpan w:val="4"/>
                        <w:shd w:fill="auto"/>
                        <w:tcW w:type="dxa" w:w="221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b/>
                            <w:bCs/>
                            <w:rFonts w:ascii="Tahoma" w:cs="Tahoma" w:eastAsia="Times New Roman" w:hAnsi="Tahoma"/>
                          </w:rPr>
                          <w:t>I. Бюджетный сектор Московской области  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426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1.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714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Разработка графиков проведения энергетических обследований подведомственных бюджетных учреждений с учетом необходимого для этих целей объема финансирования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645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 xml:space="preserve">Министерство здравоохранения Московской области, Министерство образования Московской области, Министерство культуры Московской области, Министерству социальной защиты населения Московской области, Министерство сельского хозяйства и продовольствия Московской области, Комитет по физической культуре, спорту, туризму и работе с молодежью Московской области 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306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Ноябрь 2010 года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426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2.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714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Организация работы по проведению обязательного энергетического обследования подведомственных бюджетных учреждений в соответствии с требованиями Федерального закона от 23.11.2009 № 261-ФЗ  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закон)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645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Министерство здравоохранения Московской области, Министерство образования Московской области, Министерство культуры Московской области, Министерству социальной защиты населения Московской области, Министерство сельского хозяйства и продовольствия Московской области, Комитет по физической культуре, спорту, туризму и работе с молодежью Московской области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306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 xml:space="preserve">До 31 декабря 2012 года 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426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3.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714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 xml:space="preserve">Разработка графиков по установке приборов учета потребляемых энергетических ресурсов в подведомственных бюджетных учреждениях с учетом необходимого для этих целей объема финансирования 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645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Министерство здравоохранения Московской области, Министерство образования Московской области, Министерство культуры Московской области, Министерству социальной защиты населения Московской области, Министерство сельского хозяйства и продовольствия Московской области, Комитет по физической культуре, спорту, туризму и работе с молодежью Московской области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306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Ноябрь 2010 года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426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4.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714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Организация работы по установке приборов учета потребляемых энергетических ресурсов в подведомственных бюджетных учреждений в соответствии с требованиями Федерального закона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645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Министерство здравоохранения Московской области, Министерство образования Московской области, Министерство культуры Московской области, Министерству социальной защиты населения Московской области, Министерство сельского хозяйства и продовольствия Московской области, Комитет по физической культуре, спорту, туризму и работе с молодежью Московской области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306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До 1 января 2011 года</w:t>
                        </w:r>
                      </w:p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 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426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5.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714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Финансирование работ по проведению энергетических обследований и оснащению приборами учета энергетических ресурсов подведомственных учреждений (заключение договоров с саморегулируемыми организациями по проведению энергетических обследований, организациями, осуществляющими поставку, установку приборов учета; контроль за качеством выполненных работ; ввод приборов в эксплуатацию)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645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Министерство здравоохранения Московской области, Министерство образования Московской области, Министерство культуры Московской области, Министерству социальной защиты населения Московской области, Министерство финансов Московской области, Министерство сельского хозяйства и продовольствия Московской области, Комитет по физической культуре, спорту, туризму и работе с молодежью Московской области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306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В течение срока действия Программы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426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6.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714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 xml:space="preserve">Организация деятельности по разработке подведомственными бюджетными учреждениями собственных программ в области энергосбережения и повышения энергетической эффективности 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645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Министерство здравоохранения Московской области, Министерство образования Московской области, Министерство культуры Московской области, Министерству социальной защиты населения Московской области, Министерство финансов Московской области, Министерство сельского хозяйства и продовольствия Московской области, Комитет по физической культуре, спорту, туризму и работе с молодежью Московской области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306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Ноябрь 2010 года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426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7.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714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Приобретение подведомственными бюджетными учреждениями, в том числе в рамках системы государственных закупок, инновационного оборудования, обеспечивающего снижение удельного энергопотребления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645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Министерство здравоохранения Московской области, Министерство образования Московской области, Министерство культуры Московской области, Министерству социальной защиты населения Московской области, Министерство финансов Московской области, Министерство сельского хозяйства и продовольствия Московской области, Комитет по физической культуре, спорту, туризму и работе с молодежью Московской области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306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На регулярной основе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426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8.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714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Организация работы по информированию бюджетных организаций по вопросу прекращения закупок для государственных или муниципальных нужд электрических ламп накаливания любой мощности, которые могут быть использованы в цепях переменного тока в целях освещения, с 1 января 2011 года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645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Министерство здравоохранения Московской области, Министерство образования Московской области, Министерство культуры Московской области, Министерству социальной защиты населения Московской области, Министерство финансов Московской области, Министерство сельского хозяйства и продовольствия Московской области, Комитет по физической культуре, спорту, туризму и работе с молодежью Московской области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306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Ноябрь-декабрь</w:t>
                          <w:br/>
                          <w:t> 2010 года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gridSpan w:val="4"/>
                        <w:shd w:fill="auto"/>
                        <w:tcW w:type="dxa" w:w="221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b/>
                            <w:szCs w:val="18"/>
                            <w:bCs/>
                            <w:rFonts w:ascii="Tahoma" w:cs="Tahoma" w:eastAsia="Times New Roman" w:hAnsi="Tahoma"/>
                          </w:rPr>
                          <w:t>II. Применение энергосервисных договоров (перформанс-контрактов)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426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9.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714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Принятие решений о заключении долгосрочных энергосервисных договоров (перформанс-контрактов) в отношении объектов подведомственных бюджетных учреждений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645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Министерство здравоохранения Московской области, Министерство образования Московской области, Министерство культуры Московской области, Министерству социальной защиты населения Московской области, Министерство сельского хозяйства и продовольствия Московской области, Министерство финансов Московской области, Комитет по физической культуре, спорту, туризму и работе с молодежью Московской области, руководители бюджетных учреждений Московской области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306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После принятия нормативных правовых актов на федеральном уровне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426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10.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714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 xml:space="preserve">Реализация «пилотных» проектов по заключению энергосервисных договоров (перформанс-контрактов) подведомственными бюджетными учреждениями 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645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Министерство здравоохранения Московской области, Министерство образования Московской области, Министерство культуры Московской области, Министерству социальной защиты населения Московской области, Министерство сельского хозяйства и продовольствия Московской области, Министерство финансов Московской области, Комитет по физической культуре, спорту, туризму и работе с молодежью Московской области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306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После принятия нормативных правовых актов на федеральном уровне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gridSpan w:val="4"/>
                        <w:shd w:fill="auto"/>
                        <w:tcW w:type="dxa" w:w="221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b/>
                            <w:szCs w:val="18"/>
                            <w:bCs/>
                            <w:rFonts w:ascii="Tahoma" w:cs="Tahoma" w:eastAsia="Times New Roman" w:hAnsi="Tahoma"/>
                          </w:rPr>
                          <w:t>III. Сельское хозяйство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426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11.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714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 xml:space="preserve">Разработка графиков по установке приборов учета потребляемых энергетических ресурсов в подведомственных бюджетных учреждениях с учетом необходимого для этих целей объема финансирования 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645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Министерство сельского хозяйства и продовольствия Московской области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306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Ноябрь 2010 года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426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12.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714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Организация работы по установке приборов учета потребляемых энергетических ресурсов в подведомственных бюджетных учреждений в соответствии с требованиями Федерального закона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645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Министерство сельского хозяйства и продовольствия Московской области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306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До 1 января 2011 года</w:t>
                        </w:r>
                      </w:p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 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gridSpan w:val="4"/>
                        <w:shd w:fill="auto"/>
                        <w:tcW w:type="dxa" w:w="221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b/>
                            <w:szCs w:val="18"/>
                            <w:bCs/>
                            <w:rFonts w:ascii="Tahoma" w:cs="Tahoma" w:eastAsia="Times New Roman" w:hAnsi="Tahoma"/>
                          </w:rPr>
                          <w:t>IV. Изменения в финансировании подведомственных бюджетных учреждений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426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13.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714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Планирование расходов бюджета Московской области на оплату бюджетными учреждениями энергетических ресурсов исходя из сокращения потребления ими энергоресурсов на 3 процента по отношению к уровню 2009 года в течение 5 лет (с учетом изменения температуры, численности, площадей)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645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Министерство финансов Московской области</w:t>
                        </w:r>
                      </w:p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 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306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Ежегодно при формировании бюджетов на очередной финансовый год</w:t>
                        </w:r>
                      </w:p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 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426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14.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714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Планирование расходов бюджета Московской области на оплату бюджетными учреждениями энергетических обследований</w:t>
                        </w:r>
                        <w:r>
                          <w:rPr>
                            <w:color w:val="3B3B3B"/>
                            <w:sz w:val="18"/>
                            <w:i/>
                            <w:szCs w:val="18"/>
                            <w:iCs/>
                            <w:rFonts w:ascii="Tahoma" w:cs="Tahoma" w:eastAsia="Times New Roman" w:hAnsi="Tahoma"/>
                          </w:rPr>
                          <w:t> </w:t>
                        </w:r>
                      </w:p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 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645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Министерство финансов Московской области</w:t>
                        </w:r>
                      </w:p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 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306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До 31 декабря 2012 года ежегодно, в последующие годы – не реже одного раза в пять лет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gridSpan w:val="4"/>
                        <w:shd w:fill="auto"/>
                        <w:tcW w:type="dxa" w:w="221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b/>
                            <w:bCs/>
                            <w:rFonts w:ascii="Tahoma" w:cs="Tahoma" w:eastAsia="Times New Roman" w:hAnsi="Tahoma"/>
                          </w:rPr>
                          <w:t>V. Жилищный фонд Московской области</w:t>
                        </w:r>
                        <w:r>
                          <w:rPr>
                            <w:color w:val="3B3B3B"/>
                            <w:sz w:val="18"/>
                            <w:b/>
                            <w:szCs w:val="18"/>
                            <w:bCs/>
                            <w:rFonts w:ascii="Tahoma" w:cs="Tahoma" w:eastAsia="Times New Roman" w:hAnsi="Tahoma"/>
                          </w:rPr>
                          <w:t> 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426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15.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714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 xml:space="preserve">Осуществление мониторинга за разработкой и реализацией планов по установке приборов учета потребляемых энергетических ресурсов в жилищном фонде Московской области (в части многоквартирных домов). 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645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Министерство жилищно-коммунального хозяйства Московской области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306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 xml:space="preserve">Ноябрь-декабрь 2010 года 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426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16.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714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Рассмотрение схем финансирования мероприятий по установке приборов учета потребляемых энергетических ресурсов в жилищном фонде Московской области (в части многоквартирных жилых домов)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645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Министерство жилищно-коммунального хозяйства Московской области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306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Ноябрь-декабрь 2010 года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426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17.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714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Предоставление в Топливно-энергетический комитет Московской области  информации об уровне оснащения приборами учета потребляемых энергетических ресурсов жилищного фонда Московской области (в части многоквартирных жилых домов) и (или) о причинах невыполнения требований Федерального закона (в случае невыполнения)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645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Министерство жилищно-коммунального хозяйства Московской области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306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Ежеквартально до 10 числа месяца, следующего за отчетным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426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18.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714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Осуществление контроля за соответствием многоквартирных домов в процессе их эксплуатации установленным законодательством об энергоснабжении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645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Главное управление Московской области "Государственная жилищная инспекция Московской области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306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На регулярной основе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426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19.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714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Осуществление контроля за соблюдением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</w:t>
                        </w:r>
                        <w:r>
                          <w:rPr>
                            <w:color w:val="3B3B3B"/>
                            <w:sz w:val="18"/>
                            <w:i/>
                            <w:szCs w:val="18"/>
                            <w:iCs/>
                            <w:rFonts w:ascii="Tahoma" w:cs="Tahoma" w:eastAsia="Times New Roman" w:hAnsi="Tahoma"/>
                          </w:rPr>
                          <w:t> 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645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Главное управление Московской области "Государственная жилищная инспекция Московской области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306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На регулярной основе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426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20.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714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Учет требований Федерального закона при согласовании, утверждении заданий на проектирование объектов строительства, их реконструкции и капитального ремонта, финансируемых за счет средств бюджета Московской области, в том числе в части оснащенности приборами учета энергоресурсов многоквартирных домов.</w:t>
                        </w:r>
                      </w:p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i/>
                            <w:szCs w:val="18"/>
                            <w:iCs/>
                            <w:rFonts w:ascii="Tahoma" w:cs="Tahoma" w:eastAsia="Times New Roman" w:hAnsi="Tahoma"/>
                          </w:rPr>
                          <w:t> 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645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Министерство строительного комплекса Московской области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306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На регулярной основе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426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21.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714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Обеспечение учета программ развития топливно-энергетического комплекса Московской области и рассмотрение возможности использования местных возобновляемых источников энергии при  разработке документов территориального планирования муниципальных образований Московской области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645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Министерство строительного комплекса Московской области</w:t>
                        </w:r>
                      </w:p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Главное управление архитектуры и градостроительства Московской области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306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На регулярной основе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gridSpan w:val="4"/>
                        <w:shd w:fill="auto"/>
                        <w:tcW w:type="dxa" w:w="221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b/>
                            <w:szCs w:val="18"/>
                            <w:bCs/>
                            <w:rFonts w:ascii="Tahoma" w:cs="Tahoma" w:eastAsia="Times New Roman" w:hAnsi="Tahoma"/>
                          </w:rPr>
                          <w:t>VI. Промышленность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426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22.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714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Подготовка предложений по организации работы по созданию на территории Московской области предприятий, выпускающих инновационное оборудование, обеспечивающее снижение удельного энергопотребления топливно-энергетических ресурсов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645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Министерство промышленности Московской области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306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Ноябрь-декабрь 2010 года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426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23.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714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Подготовка предложений по организации на территории Московской области деятельности  по утилизации вышедших из строя люминесцентных ламп</w:t>
                        </w:r>
                      </w:p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i/>
                            <w:szCs w:val="18"/>
                            <w:iCs/>
                            <w:rFonts w:ascii="Tahoma" w:cs="Tahoma" w:eastAsia="Times New Roman" w:hAnsi="Tahoma"/>
                          </w:rPr>
                          <w:t> 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645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 xml:space="preserve">Министерство экологии и природопользования Московской области, Министерство промышленности и науки Московской области 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306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Ноябрь-декабрь 2010 года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gridSpan w:val="4"/>
                        <w:shd w:fill="auto"/>
                        <w:tcW w:type="dxa" w:w="221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b/>
                            <w:szCs w:val="18"/>
                            <w:bCs/>
                            <w:rFonts w:ascii="Tahoma" w:cs="Tahoma" w:eastAsia="Times New Roman" w:hAnsi="Tahoma"/>
                          </w:rPr>
                          <w:t>VII. Транспорт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426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24.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714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Организация работы по переводу общественного транспорта Московской области на потребление дизельного и альтернативного топлива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645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Министерство транспорта Московской области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306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Поэтапно в течение срока реализации Программы</w:t>
                        </w:r>
                      </w:p>
                    </w:tc>
                  </w:tr>
                  <w:tr>
                    <w:trPr>
                      <w:cantSplit w:val="off"/>
                    </w:trPr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426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25.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714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Организация работ по снижению затрат на электрическую энергию по электроподвижному общественному транспорту Московской области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2645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Министерство транспорта Московской области</w:t>
                        </w:r>
                      </w:p>
                    </w:tc>
                    <w:tc>
                      <w:tcPr>
                        <w:tcBorders>
                          <w:top w:color="294197" w:space="0" w:sz="6" w:val="single"/>
                          <w:left w:color="294197" w:space="0" w:sz="6" w:val="single"/>
                          <w:bottom w:color="294197" w:space="0" w:sz="6" w:val="single"/>
                          <w:right w:color="294197" w:space="0" w:sz="6" w:val="single"/>
                        </w:tcBorders>
                        <w:shd w:fill="auto"/>
                        <w:tcW w:type="dxa" w:w="3061"/>
                        <w:tcMar>
                          <w:top w:type="dxa" w:w="45"/>
                          <w:left w:type="dxa" w:w="45"/>
                          <w:bottom w:type="dxa" w:w="45"/>
                          <w:right w:type="dxa" w:w="45"/>
                        </w:tcMar>
                      </w:tcPr>
                      <w:p>
                        <w:pPr>
                          <w:pStyle w:val="style0"/>
                          <w:jc w:val="center"/>
                          <w:spacing w:after="75" w:before="75" w:line="100" w:lineRule="atLeast"/>
                        </w:pPr>
                        <w:r>
                          <w:rPr>
                            <w:color w:val="3B3B3B"/>
                            <w:sz w:val="18"/>
                            <w:szCs w:val="18"/>
                            <w:rFonts w:ascii="Tahoma" w:cs="Tahoma" w:eastAsia="Times New Roman" w:hAnsi="Tahoma"/>
                          </w:rPr>
                          <w:t>Поэтапно в течение срока реализации Программы</w:t>
                        </w:r>
                      </w:p>
                    </w:tc>
                  </w:tr>
                </w:tbl>
                <w:p>
                  <w:pPr>
                    <w:pStyle w:val="style0"/>
                    <w:spacing w:after="0" w:before="0" w:line="100" w:lineRule="atLeast"/>
                  </w:pPr>
                  <w:r>
                    <w:rPr>
                      <w:color w:val="3B3B3B"/>
                      <w:sz w:val="18"/>
                      <w:szCs w:val="18"/>
                      <w:rFonts w:ascii="Tahoma" w:cs="Tahoma" w:eastAsia="Times New Roman" w:hAnsi="Tahoma"/>
                    </w:rPr>
                    <w:pict>
                      <v:rect id="shape_2552" style="position:absolute;margin-left:-1816.7pt;margin-top:0pt;width:2440.3pt;height:1.4pt">
                        <w10:wrap w10:type="none"/>
                        <v:fill color="#aca899" color2="#535766" detectmouseclick="t" type="solid"/>
                        <v:stroke color="#000023" joinstyle="round"/>
                      </v:rect>
                    </w:pict>
                  </w:r>
                </w:p>
              </w:tc>
            </w:tr>
          </w:tbl>
          <w:p>
            <w:pPr>
              <w:pStyle w:val="style0"/>
              <w:spacing w:after="0" w:before="0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</w:r>
          </w:p>
        </w:tc>
        <w:tc>
          <w:tcPr>
            <w:tcBorders/>
            <w:shd w:fill="auto"/>
            <w:tcW w:type="dxa" w:w="493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3B3B3B"/>
                <w:sz w:val="18"/>
                <w:szCs w:val="18"/>
                <w:rFonts w:ascii="Tahoma" w:cs="Tahoma" w:eastAsia="Times New Roman" w:hAnsi="Tahoma"/>
              </w:rPr>
            </w:r>
          </w:p>
        </w:tc>
      </w:tr>
    </w:tbl>
    <w:p>
      <w:pPr>
        <w:pStyle w:val="style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ru-RU" w:val="ru-RU"/>
    </w:rPr>
  </w:style>
  <w:style w:styleId="style1" w:type="paragraph">
    <w:name w:val="Заголовок 1"/>
    <w:basedOn w:val="style0"/>
    <w:next w:val="style19"/>
    <w:pPr>
      <w:spacing w:after="100" w:before="100" w:line="100" w:lineRule="atLeast"/>
    </w:pPr>
    <w:rPr>
      <w:color w:val="000000"/>
      <w:sz w:val="28"/>
      <w:b/>
      <w:szCs w:val="28"/>
      <w:bCs/>
      <w:rFonts w:ascii="Times New Roman" w:cs="Times New Roman" w:eastAsia="Times New Roman" w:hAnsi="Times New Roman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Выделение жирным"/>
    <w:basedOn w:val="style15"/>
    <w:next w:val="style17"/>
    <w:rPr>
      <w:b/>
      <w:bCs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Tahoma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Tahoma" w:hAnsi="Arial"/>
    </w:rPr>
  </w:style>
  <w:style w:styleId="style23" w:type="paragraph">
    <w:name w:val="Normal (Web)"/>
    <w:basedOn w:val="style0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2010-11-14T17:04:00.00Z</dcterms:created>
  <dc:creator>Юзер</dc:creator>
  <cp:lastModifiedBy>Юзер</cp:lastModifiedBy>
  <dcterms:modified xsi:type="dcterms:W3CDTF">2010-11-14T17:04:00.00Z</dcterms:modified>
  <cp:revision>3</cp:revision>
</cp:coreProperties>
</file>